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0F" w:rsidRDefault="006166D2">
      <w:pPr>
        <w:pStyle w:val="Heading"/>
        <w:spacing w:after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POSITION DESCRIPTION</w:t>
      </w:r>
    </w:p>
    <w:p w:rsidR="00162A0F" w:rsidRDefault="006166D2">
      <w:pPr>
        <w:pStyle w:val="Heading"/>
        <w:spacing w:before="120"/>
      </w:pPr>
      <w:r>
        <w:rPr>
          <w:lang w:val="en-US"/>
        </w:rPr>
        <w:t>deputy administrator, national aeronautics and space administration</w:t>
      </w:r>
    </w:p>
    <w:p w:rsidR="00162A0F" w:rsidRDefault="00162A0F">
      <w:pPr>
        <w:pStyle w:val="Body"/>
        <w:rPr>
          <w:rFonts w:ascii="Arial" w:eastAsia="Arial" w:hAnsi="Arial" w:cs="Arial"/>
        </w:rPr>
      </w:pPr>
    </w:p>
    <w:tbl>
      <w:tblPr>
        <w:tblW w:w="94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D9"/>
        <w:tblLayout w:type="fixed"/>
        <w:tblLook w:val="04A0" w:firstRow="1" w:lastRow="0" w:firstColumn="1" w:lastColumn="0" w:noHBand="0" w:noVBand="1"/>
      </w:tblPr>
      <w:tblGrid>
        <w:gridCol w:w="3208"/>
        <w:gridCol w:w="6254"/>
      </w:tblGrid>
      <w:tr w:rsidR="006166D2" w:rsidRPr="006166D2">
        <w:trPr>
          <w:trHeight w:val="238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05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>
            <w:pPr>
              <w:pStyle w:val="Body"/>
              <w:jc w:val="center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b/>
                <w:bCs/>
                <w:color w:val="auto"/>
                <w:u w:color="FFFFFF"/>
                <w:lang w:val="en-US"/>
              </w:rPr>
              <w:t>OVERVIEW</w:t>
            </w:r>
          </w:p>
        </w:tc>
      </w:tr>
      <w:tr w:rsidR="006166D2" w:rsidRPr="006166D2">
        <w:trPr>
          <w:trHeight w:val="238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>
            <w:pPr>
              <w:pStyle w:val="Body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  <w:lang w:val="en-US"/>
              </w:rPr>
              <w:t>Senate Committee</w:t>
            </w:r>
          </w:p>
        </w:tc>
        <w:tc>
          <w:tcPr>
            <w:tcW w:w="6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>
            <w:pPr>
              <w:pStyle w:val="Body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  <w:shd w:val="clear" w:color="auto" w:fill="FFFFFF"/>
                <w:lang w:val="en-US"/>
              </w:rPr>
              <w:t>Commerce, Science and Transportation</w:t>
            </w:r>
          </w:p>
        </w:tc>
      </w:tr>
      <w:tr w:rsidR="006166D2" w:rsidRPr="006166D2">
        <w:trPr>
          <w:trHeight w:val="478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>
            <w:pPr>
              <w:pStyle w:val="Body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  <w:lang w:val="en-US"/>
              </w:rPr>
              <w:t>Agency Mission</w:t>
            </w:r>
          </w:p>
        </w:tc>
        <w:tc>
          <w:tcPr>
            <w:tcW w:w="6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>
            <w:pPr>
              <w:pStyle w:val="Body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  <w:shd w:val="clear" w:color="auto" w:fill="FFFFFF"/>
                <w:lang w:val="en-US"/>
              </w:rPr>
              <w:t>To reach for new heights and reveal the unknown for the benefit of humankind</w:t>
            </w:r>
          </w:p>
        </w:tc>
      </w:tr>
      <w:tr w:rsidR="006166D2" w:rsidRPr="006166D2">
        <w:trPr>
          <w:trHeight w:val="718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>
            <w:pPr>
              <w:pStyle w:val="Body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  <w:lang w:val="en-US"/>
              </w:rPr>
              <w:t>Position Overview</w:t>
            </w:r>
          </w:p>
        </w:tc>
        <w:tc>
          <w:tcPr>
            <w:tcW w:w="6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>
            <w:pPr>
              <w:pStyle w:val="Body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  <w:lang w:val="en-US"/>
              </w:rPr>
              <w:t>The deputy administrator acts with or for the administrator within the full scope of the administrator</w:t>
            </w:r>
            <w:r w:rsidR="00094A90">
              <w:rPr>
                <w:rFonts w:ascii="Arial" w:hAnsi="Arial" w:cs="Arial"/>
                <w:color w:val="auto"/>
                <w:lang w:val="en-US"/>
              </w:rPr>
              <w:t>’</w:t>
            </w:r>
            <w:r w:rsidRPr="006166D2">
              <w:rPr>
                <w:rFonts w:ascii="Arial" w:hAnsi="Arial" w:cs="Arial"/>
                <w:color w:val="auto"/>
                <w:lang w:val="en-US"/>
              </w:rPr>
              <w:t xml:space="preserve">s responsibilities and serves as the </w:t>
            </w:r>
            <w:proofErr w:type="gramStart"/>
            <w:r w:rsidRPr="006166D2">
              <w:rPr>
                <w:rFonts w:ascii="Arial" w:hAnsi="Arial" w:cs="Arial"/>
                <w:color w:val="auto"/>
                <w:lang w:val="en-US"/>
              </w:rPr>
              <w:t>agency’s</w:t>
            </w:r>
            <w:proofErr w:type="gramEnd"/>
            <w:r w:rsidRPr="006166D2">
              <w:rPr>
                <w:rFonts w:ascii="Arial" w:hAnsi="Arial" w:cs="Arial"/>
                <w:color w:val="auto"/>
                <w:lang w:val="en-US"/>
              </w:rPr>
              <w:t xml:space="preserve"> second in command.</w:t>
            </w:r>
          </w:p>
        </w:tc>
      </w:tr>
      <w:tr w:rsidR="006166D2" w:rsidRPr="006166D2">
        <w:trPr>
          <w:trHeight w:val="238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>
            <w:pPr>
              <w:pStyle w:val="Body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  <w:lang w:val="en-US"/>
              </w:rPr>
              <w:t>Compensation</w:t>
            </w:r>
          </w:p>
        </w:tc>
        <w:tc>
          <w:tcPr>
            <w:tcW w:w="6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 w:rsidP="00B00B2E">
            <w:pPr>
              <w:pStyle w:val="Body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  <w:lang w:val="en-US"/>
              </w:rPr>
              <w:t>Level III $</w:t>
            </w:r>
            <w:r w:rsidR="00B00B2E">
              <w:rPr>
                <w:rFonts w:ascii="Arial" w:hAnsi="Arial" w:cs="Arial"/>
                <w:color w:val="auto"/>
                <w:lang w:val="en-US"/>
              </w:rPr>
              <w:t>165,300</w:t>
            </w:r>
            <w:r w:rsidRPr="006166D2">
              <w:rPr>
                <w:rStyle w:val="EndnoteReference"/>
                <w:rFonts w:ascii="Arial" w:hAnsi="Arial" w:cs="Arial"/>
                <w:color w:val="auto"/>
                <w:lang w:val="en-US"/>
              </w:rPr>
              <w:endnoteReference w:id="1"/>
            </w:r>
            <w:r w:rsidRPr="006166D2">
              <w:rPr>
                <w:rFonts w:ascii="Arial" w:hAnsi="Arial" w:cs="Arial"/>
                <w:color w:val="auto"/>
                <w:lang w:val="en-US"/>
              </w:rPr>
              <w:t xml:space="preserve"> (5 U.S.C. § 5314)</w:t>
            </w:r>
          </w:p>
        </w:tc>
      </w:tr>
      <w:tr w:rsidR="006166D2" w:rsidRPr="006166D2" w:rsidTr="006166D2">
        <w:trPr>
          <w:trHeight w:val="25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>
            <w:pPr>
              <w:pStyle w:val="Body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  <w:lang w:val="en-US"/>
              </w:rPr>
              <w:t>Position Reports to</w:t>
            </w:r>
          </w:p>
        </w:tc>
        <w:tc>
          <w:tcPr>
            <w:tcW w:w="6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>
            <w:pPr>
              <w:pStyle w:val="Body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  <w:lang w:val="en-US"/>
              </w:rPr>
              <w:t>NASA Administrator</w:t>
            </w:r>
          </w:p>
        </w:tc>
      </w:tr>
      <w:tr w:rsidR="006166D2" w:rsidRPr="006166D2">
        <w:trPr>
          <w:trHeight w:val="238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05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>
            <w:pPr>
              <w:pStyle w:val="Body"/>
              <w:jc w:val="center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b/>
                <w:bCs/>
                <w:color w:val="auto"/>
                <w:u w:color="FFFFFF"/>
                <w:lang w:val="en-US"/>
              </w:rPr>
              <w:t>RESPONSIBILITIES</w:t>
            </w:r>
          </w:p>
        </w:tc>
      </w:tr>
      <w:tr w:rsidR="006166D2" w:rsidRPr="006166D2" w:rsidTr="006166D2">
        <w:trPr>
          <w:trHeight w:val="25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>
            <w:pPr>
              <w:pStyle w:val="Body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  <w:lang w:val="en-US"/>
              </w:rPr>
              <w:t>Management Scope</w:t>
            </w:r>
          </w:p>
        </w:tc>
        <w:tc>
          <w:tcPr>
            <w:tcW w:w="6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>
            <w:pPr>
              <w:pStyle w:val="Body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  <w:lang w:val="en-US"/>
              </w:rPr>
              <w:t>In fiscal 2015, NASA had $20.97 billion in budget outlays and 17,744 employees.</w:t>
            </w:r>
          </w:p>
        </w:tc>
      </w:tr>
      <w:tr w:rsidR="006166D2" w:rsidRPr="006166D2" w:rsidTr="006166D2">
        <w:trPr>
          <w:trHeight w:val="2129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>
            <w:pPr>
              <w:pStyle w:val="Body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  <w:lang w:val="en-US"/>
              </w:rPr>
              <w:t>Primary Responsibilities</w:t>
            </w:r>
          </w:p>
        </w:tc>
        <w:tc>
          <w:tcPr>
            <w:tcW w:w="6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6D2" w:rsidRPr="006166D2" w:rsidRDefault="006166D2" w:rsidP="006166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</w:rPr>
              <w:t>Is responsible for a portfolio of activities as defined by the NASA administrator (</w:t>
            </w:r>
            <w:r w:rsidR="00594A68">
              <w:rPr>
                <w:rFonts w:ascii="Arial" w:hAnsi="Arial" w:cs="Arial"/>
                <w:color w:val="auto"/>
              </w:rPr>
              <w:t>D</w:t>
            </w:r>
            <w:r w:rsidRPr="006166D2">
              <w:rPr>
                <w:rFonts w:ascii="Arial" w:hAnsi="Arial" w:cs="Arial"/>
                <w:color w:val="auto"/>
              </w:rPr>
              <w:t xml:space="preserve">epending on the background of the individual in the position, this could range from executive responsibilities to </w:t>
            </w:r>
            <w:r w:rsidR="00801810">
              <w:rPr>
                <w:rFonts w:ascii="Arial" w:hAnsi="Arial" w:cs="Arial"/>
                <w:color w:val="auto"/>
              </w:rPr>
              <w:t>a</w:t>
            </w:r>
            <w:r w:rsidR="00094A90" w:rsidRPr="006166D2">
              <w:rPr>
                <w:rFonts w:ascii="Arial" w:hAnsi="Arial" w:cs="Arial"/>
                <w:color w:val="auto"/>
              </w:rPr>
              <w:t xml:space="preserve"> </w:t>
            </w:r>
            <w:r w:rsidRPr="006166D2">
              <w:rPr>
                <w:rFonts w:ascii="Arial" w:hAnsi="Arial" w:cs="Arial"/>
                <w:color w:val="auto"/>
              </w:rPr>
              <w:t>full range of technical responsibilities</w:t>
            </w:r>
            <w:r w:rsidR="00594A68">
              <w:rPr>
                <w:rFonts w:ascii="Arial" w:hAnsi="Arial" w:cs="Arial"/>
                <w:color w:val="auto"/>
              </w:rPr>
              <w:t>.</w:t>
            </w:r>
            <w:r w:rsidRPr="006166D2">
              <w:rPr>
                <w:rFonts w:ascii="Arial" w:hAnsi="Arial" w:cs="Arial"/>
                <w:color w:val="auto"/>
              </w:rPr>
              <w:t>)</w:t>
            </w:r>
          </w:p>
          <w:p w:rsidR="006166D2" w:rsidRPr="006166D2" w:rsidRDefault="006166D2" w:rsidP="006166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</w:rPr>
              <w:t>Serves as acting administrator in the administrator</w:t>
            </w:r>
            <w:r w:rsidR="00094A90">
              <w:rPr>
                <w:rFonts w:ascii="Arial" w:hAnsi="Arial" w:cs="Arial"/>
                <w:color w:val="auto"/>
              </w:rPr>
              <w:t>’</w:t>
            </w:r>
            <w:r w:rsidRPr="006166D2">
              <w:rPr>
                <w:rFonts w:ascii="Arial" w:hAnsi="Arial" w:cs="Arial"/>
                <w:color w:val="auto"/>
              </w:rPr>
              <w:t>s absence</w:t>
            </w:r>
          </w:p>
          <w:p w:rsidR="006166D2" w:rsidRPr="006166D2" w:rsidRDefault="006166D2" w:rsidP="006166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</w:rPr>
              <w:t>Works closely with the administrator to provide overall leadership, planning and policy direction for the agency</w:t>
            </w:r>
          </w:p>
          <w:p w:rsidR="006166D2" w:rsidRPr="006166D2" w:rsidRDefault="006166D2" w:rsidP="006166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</w:rPr>
              <w:t>Together with the NASA administrator, represents NASA to the Executive Office of the President, Congress, heads of government agencies, international organizations and external organizations and communities</w:t>
            </w:r>
          </w:p>
        </w:tc>
      </w:tr>
      <w:tr w:rsidR="006166D2" w:rsidRPr="006166D2">
        <w:trPr>
          <w:trHeight w:val="1198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>
            <w:pPr>
              <w:pStyle w:val="Body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  <w:lang w:val="en-US"/>
              </w:rPr>
              <w:t>Strategic Goals and Priorities</w:t>
            </w:r>
          </w:p>
        </w:tc>
        <w:tc>
          <w:tcPr>
            <w:tcW w:w="6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 w:rsidR="00162A0F" w:rsidRPr="006166D2" w:rsidRDefault="00162A0F">
            <w:pPr>
              <w:pStyle w:val="Body"/>
              <w:ind w:left="72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  <w:p w:rsidR="00162A0F" w:rsidRPr="006166D2" w:rsidRDefault="00162A0F">
            <w:pPr>
              <w:pStyle w:val="Body"/>
              <w:ind w:left="72"/>
              <w:jc w:val="center"/>
              <w:rPr>
                <w:rFonts w:ascii="Arial" w:eastAsia="Arial" w:hAnsi="Arial" w:cs="Arial"/>
                <w:color w:val="auto"/>
                <w:lang w:val="en-US"/>
              </w:rPr>
            </w:pPr>
          </w:p>
          <w:p w:rsidR="00162A0F" w:rsidRPr="006166D2" w:rsidRDefault="006166D2">
            <w:pPr>
              <w:pStyle w:val="Body"/>
              <w:ind w:left="72"/>
              <w:jc w:val="center"/>
              <w:rPr>
                <w:rFonts w:ascii="Arial" w:eastAsia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  <w:lang w:val="en-US"/>
              </w:rPr>
              <w:t>[Depends on the policy priorities of the administration]</w:t>
            </w:r>
          </w:p>
          <w:p w:rsidR="00162A0F" w:rsidRDefault="00162A0F">
            <w:pPr>
              <w:pStyle w:val="Body"/>
              <w:ind w:left="72"/>
              <w:jc w:val="center"/>
              <w:rPr>
                <w:rFonts w:ascii="Arial" w:hAnsi="Arial" w:cs="Arial"/>
                <w:color w:val="auto"/>
              </w:rPr>
            </w:pPr>
          </w:p>
          <w:p w:rsidR="006166D2" w:rsidRPr="006166D2" w:rsidRDefault="006166D2">
            <w:pPr>
              <w:pStyle w:val="Body"/>
              <w:ind w:left="72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166D2" w:rsidRPr="006166D2">
        <w:trPr>
          <w:trHeight w:val="238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05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>
            <w:pPr>
              <w:pStyle w:val="Body"/>
              <w:jc w:val="center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b/>
                <w:bCs/>
                <w:color w:val="auto"/>
                <w:u w:color="FFFFFF"/>
                <w:lang w:val="en-US"/>
              </w:rPr>
              <w:t>REQUIREMENTS AND COMPETENCIES</w:t>
            </w:r>
          </w:p>
        </w:tc>
      </w:tr>
      <w:tr w:rsidR="006166D2" w:rsidRPr="006166D2" w:rsidTr="006166D2">
        <w:trPr>
          <w:trHeight w:val="25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>
            <w:pPr>
              <w:pStyle w:val="Body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  <w:lang w:val="en-US"/>
              </w:rPr>
              <w:t>Requirements</w:t>
            </w:r>
          </w:p>
        </w:tc>
        <w:tc>
          <w:tcPr>
            <w:tcW w:w="6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6D2" w:rsidRPr="006166D2" w:rsidRDefault="006166D2" w:rsidP="006166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</w:rPr>
              <w:t>Appointed from civilian life (51 U.S.C. 20111)</w:t>
            </w:r>
          </w:p>
          <w:p w:rsidR="006166D2" w:rsidRPr="006166D2" w:rsidRDefault="006166D2" w:rsidP="006166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</w:rPr>
              <w:t>Extensive executive experience in large organizations</w:t>
            </w:r>
          </w:p>
          <w:p w:rsidR="006166D2" w:rsidRPr="006166D2" w:rsidRDefault="006166D2" w:rsidP="006166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</w:rPr>
              <w:t>Executive experience in a scientific or technical organization (preferred)</w:t>
            </w:r>
          </w:p>
          <w:p w:rsidR="006166D2" w:rsidRPr="006166D2" w:rsidRDefault="006166D2" w:rsidP="006166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</w:rPr>
              <w:lastRenderedPageBreak/>
              <w:t>Knowledge of or experience working in the multifaceted space enterprise</w:t>
            </w:r>
          </w:p>
          <w:p w:rsidR="006166D2" w:rsidRPr="006166D2" w:rsidRDefault="006166D2" w:rsidP="006166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</w:rPr>
              <w:t>Experience representing the interests of a scientific or technical organization to external stakeholders</w:t>
            </w:r>
          </w:p>
          <w:p w:rsidR="006166D2" w:rsidRPr="006166D2" w:rsidRDefault="006166D2" w:rsidP="006166D2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eastAsia="Arial Unicode MS" w:hAnsi="Arial" w:cs="Arial"/>
                <w:color w:val="auto"/>
              </w:rPr>
              <w:t>Expertise in a scientific or technical discipline (preferred)</w:t>
            </w:r>
          </w:p>
        </w:tc>
      </w:tr>
      <w:tr w:rsidR="006166D2" w:rsidRPr="006166D2" w:rsidTr="006166D2">
        <w:trPr>
          <w:trHeight w:val="25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>
            <w:pPr>
              <w:pStyle w:val="Body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  <w:lang w:val="en-US"/>
              </w:rPr>
              <w:lastRenderedPageBreak/>
              <w:t>Competencies</w:t>
            </w:r>
          </w:p>
        </w:tc>
        <w:tc>
          <w:tcPr>
            <w:tcW w:w="6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6D2" w:rsidRPr="006166D2" w:rsidRDefault="006166D2" w:rsidP="006166D2">
            <w:pPr>
              <w:pStyle w:val="Body"/>
              <w:numPr>
                <w:ilvl w:val="0"/>
                <w:numId w:val="3"/>
              </w:numPr>
              <w:ind w:left="432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</w:rPr>
              <w:t>Excellent executive leadership skills</w:t>
            </w:r>
          </w:p>
          <w:p w:rsidR="006166D2" w:rsidRPr="006166D2" w:rsidRDefault="006166D2" w:rsidP="006166D2">
            <w:pPr>
              <w:pStyle w:val="Default"/>
              <w:numPr>
                <w:ilvl w:val="0"/>
                <w:numId w:val="3"/>
              </w:numPr>
              <w:ind w:left="432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eastAsia="Arial Unicode MS" w:hAnsi="Arial" w:cs="Arial"/>
                <w:color w:val="auto"/>
              </w:rPr>
              <w:t>Strong communication and interpersonal skills</w:t>
            </w:r>
          </w:p>
          <w:p w:rsidR="006166D2" w:rsidRPr="006166D2" w:rsidRDefault="006166D2" w:rsidP="006166D2">
            <w:pPr>
              <w:pStyle w:val="Default"/>
              <w:numPr>
                <w:ilvl w:val="0"/>
                <w:numId w:val="3"/>
              </w:numPr>
              <w:ind w:left="432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eastAsia="Arial Unicode MS" w:hAnsi="Arial" w:cs="Arial"/>
                <w:color w:val="auto"/>
              </w:rPr>
              <w:t>Facilitation skills to bring competing points of view together</w:t>
            </w:r>
          </w:p>
          <w:p w:rsidR="006166D2" w:rsidRPr="006166D2" w:rsidRDefault="006166D2" w:rsidP="006166D2">
            <w:pPr>
              <w:pStyle w:val="Default"/>
              <w:numPr>
                <w:ilvl w:val="0"/>
                <w:numId w:val="3"/>
              </w:numPr>
              <w:ind w:left="432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eastAsia="Arial Unicode MS" w:hAnsi="Arial" w:cs="Arial"/>
                <w:color w:val="auto"/>
              </w:rPr>
              <w:t>Ability to work in high-pressure situations, often with incomplete or rapidly changing information</w:t>
            </w:r>
          </w:p>
          <w:p w:rsidR="006166D2" w:rsidRPr="006166D2" w:rsidRDefault="006166D2" w:rsidP="006166D2">
            <w:pPr>
              <w:pStyle w:val="Default"/>
              <w:numPr>
                <w:ilvl w:val="0"/>
                <w:numId w:val="3"/>
              </w:numPr>
              <w:ind w:left="432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eastAsia="Arial Unicode MS" w:hAnsi="Arial" w:cs="Arial"/>
                <w:color w:val="auto"/>
              </w:rPr>
              <w:t>Energy for frequent travel, often to foreign countries</w:t>
            </w:r>
          </w:p>
        </w:tc>
      </w:tr>
      <w:tr w:rsidR="006166D2" w:rsidRPr="006166D2">
        <w:trPr>
          <w:trHeight w:val="238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05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>
            <w:pPr>
              <w:pStyle w:val="Body"/>
              <w:jc w:val="center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b/>
                <w:bCs/>
                <w:color w:val="auto"/>
                <w:u w:color="FFFFFF"/>
                <w:lang w:val="en-US"/>
              </w:rPr>
              <w:t>PAST APPOINTEES</w:t>
            </w:r>
          </w:p>
        </w:tc>
      </w:tr>
      <w:tr w:rsidR="006166D2" w:rsidRPr="006166D2">
        <w:trPr>
          <w:trHeight w:val="478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>
            <w:pPr>
              <w:pStyle w:val="Body"/>
              <w:rPr>
                <w:rFonts w:ascii="Arial" w:hAnsi="Arial" w:cs="Arial"/>
                <w:color w:val="auto"/>
              </w:rPr>
            </w:pPr>
            <w:proofErr w:type="spellStart"/>
            <w:r w:rsidRPr="006166D2">
              <w:rPr>
                <w:rFonts w:ascii="Arial" w:hAnsi="Arial" w:cs="Arial"/>
                <w:color w:val="auto"/>
                <w:lang w:val="en-US"/>
              </w:rPr>
              <w:t>Dava</w:t>
            </w:r>
            <w:proofErr w:type="spellEnd"/>
            <w:r w:rsidRPr="006166D2">
              <w:rPr>
                <w:rFonts w:ascii="Arial" w:hAnsi="Arial" w:cs="Arial"/>
                <w:color w:val="auto"/>
                <w:lang w:val="en-US"/>
              </w:rPr>
              <w:t xml:space="preserve"> J. Newman (2015 to 2017): Apollo Program Professor of Astronautics, Massachusetts Institute of Technology</w:t>
            </w:r>
          </w:p>
        </w:tc>
      </w:tr>
      <w:tr w:rsidR="006166D2" w:rsidRPr="006166D2" w:rsidTr="006166D2">
        <w:trPr>
          <w:trHeight w:val="25"/>
        </w:trPr>
        <w:tc>
          <w:tcPr>
            <w:tcW w:w="9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>
            <w:pPr>
              <w:pStyle w:val="Body"/>
              <w:rPr>
                <w:rFonts w:ascii="Arial" w:eastAsia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  <w:shd w:val="clear" w:color="auto" w:fill="FFFFFF"/>
                <w:lang w:val="en-US"/>
              </w:rPr>
              <w:t xml:space="preserve">Lori </w:t>
            </w:r>
            <w:proofErr w:type="spellStart"/>
            <w:r w:rsidRPr="006166D2">
              <w:rPr>
                <w:rFonts w:ascii="Arial" w:hAnsi="Arial" w:cs="Arial"/>
                <w:color w:val="auto"/>
                <w:shd w:val="clear" w:color="auto" w:fill="FFFFFF"/>
                <w:lang w:val="en-US"/>
              </w:rPr>
              <w:t>Garver</w:t>
            </w:r>
            <w:proofErr w:type="spellEnd"/>
            <w:r w:rsidRPr="006166D2">
              <w:rPr>
                <w:rFonts w:ascii="Arial" w:hAnsi="Arial" w:cs="Arial"/>
                <w:color w:val="auto"/>
                <w:lang w:val="en-US"/>
              </w:rPr>
              <w:t xml:space="preserve"> (2009 to 2013): President, Capital Space LLC; </w:t>
            </w:r>
            <w:r w:rsidRPr="006166D2">
              <w:rPr>
                <w:rFonts w:ascii="Arial" w:hAnsi="Arial" w:cs="Arial"/>
                <w:color w:val="auto"/>
                <w:shd w:val="clear" w:color="auto" w:fill="FFFFFF"/>
                <w:lang w:val="en-US"/>
              </w:rPr>
              <w:t>Team Leader, National Aeronautics and Space Administration Team, President-Elect Obama Transition Team, Executive Office of the President; Civil Space Policy Advisor, Obama for America</w:t>
            </w:r>
          </w:p>
        </w:tc>
      </w:tr>
      <w:tr w:rsidR="006166D2" w:rsidRPr="006166D2">
        <w:trPr>
          <w:trHeight w:val="1203"/>
        </w:trPr>
        <w:tc>
          <w:tcPr>
            <w:tcW w:w="9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A0F" w:rsidRPr="006166D2" w:rsidRDefault="006166D2">
            <w:pPr>
              <w:pStyle w:val="Body"/>
              <w:rPr>
                <w:rFonts w:ascii="Arial" w:hAnsi="Arial" w:cs="Arial"/>
                <w:color w:val="auto"/>
              </w:rPr>
            </w:pPr>
            <w:r w:rsidRPr="006166D2">
              <w:rPr>
                <w:rFonts w:ascii="Arial" w:hAnsi="Arial" w:cs="Arial"/>
                <w:color w:val="auto"/>
                <w:shd w:val="clear" w:color="auto" w:fill="FFFFFF"/>
                <w:lang w:val="en-US"/>
              </w:rPr>
              <w:t>Shana L. Dale</w:t>
            </w:r>
            <w:r w:rsidRPr="006166D2">
              <w:rPr>
                <w:rFonts w:ascii="Arial" w:hAnsi="Arial" w:cs="Arial"/>
                <w:color w:val="auto"/>
                <w:lang w:val="en-US"/>
              </w:rPr>
              <w:t xml:space="preserve"> (2005 to 2009): </w:t>
            </w:r>
            <w:r w:rsidRPr="006166D2">
              <w:rPr>
                <w:rFonts w:ascii="Arial" w:hAnsi="Arial" w:cs="Arial"/>
                <w:color w:val="auto"/>
                <w:shd w:val="clear" w:color="auto" w:fill="FFFFFF"/>
                <w:lang w:val="en-US"/>
              </w:rPr>
              <w:t>Deputy Director for Homeland and National Security, Office of Science and Technology Policy, Executive Office of the President, George W. Bush Administration</w:t>
            </w:r>
            <w:r w:rsidRPr="006166D2">
              <w:rPr>
                <w:rFonts w:ascii="Arial" w:hAnsi="Arial" w:cs="Arial"/>
                <w:color w:val="auto"/>
                <w:lang w:val="en-US"/>
              </w:rPr>
              <w:t xml:space="preserve">; </w:t>
            </w:r>
            <w:r w:rsidRPr="006166D2">
              <w:rPr>
                <w:rFonts w:ascii="Arial" w:hAnsi="Arial" w:cs="Arial"/>
                <w:color w:val="auto"/>
                <w:shd w:val="clear" w:color="auto" w:fill="FFFFFF"/>
                <w:lang w:val="en-US"/>
              </w:rPr>
              <w:t>Chief of Staff and General Counsel, Office of Science and Technology Policy, Executive Office of the President</w:t>
            </w:r>
            <w:r w:rsidRPr="006166D2">
              <w:rPr>
                <w:rFonts w:ascii="Arial" w:hAnsi="Arial" w:cs="Arial"/>
                <w:color w:val="auto"/>
                <w:lang w:val="en-US"/>
              </w:rPr>
              <w:t xml:space="preserve">; </w:t>
            </w:r>
            <w:r w:rsidRPr="006166D2">
              <w:rPr>
                <w:rFonts w:ascii="Arial" w:hAnsi="Arial" w:cs="Arial"/>
                <w:color w:val="auto"/>
                <w:shd w:val="clear" w:color="auto" w:fill="FFFFFF"/>
                <w:lang w:val="en-US"/>
              </w:rPr>
              <w:t>Chair, Committee on Homeland and National Security, National Science and Technology Council</w:t>
            </w:r>
          </w:p>
        </w:tc>
      </w:tr>
    </w:tbl>
    <w:p w:rsidR="00162A0F" w:rsidRDefault="00162A0F">
      <w:pPr>
        <w:pStyle w:val="Body"/>
        <w:widowControl w:val="0"/>
        <w:ind w:left="108" w:hanging="108"/>
      </w:pPr>
    </w:p>
    <w:sectPr w:rsidR="00162A0F">
      <w:footerReference w:type="default" r:id="rId8"/>
      <w:pgSz w:w="12240" w:h="15840"/>
      <w:pgMar w:top="576" w:right="1368" w:bottom="2448" w:left="1296" w:header="288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02" w:rsidRDefault="00B54E02">
      <w:r>
        <w:separator/>
      </w:r>
    </w:p>
  </w:endnote>
  <w:endnote w:type="continuationSeparator" w:id="0">
    <w:p w:rsidR="00B54E02" w:rsidRDefault="00B54E02">
      <w:r>
        <w:continuationSeparator/>
      </w:r>
    </w:p>
  </w:endnote>
  <w:endnote w:id="1">
    <w:p w:rsidR="006166D2" w:rsidRDefault="006166D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00B2E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0F" w:rsidRDefault="006166D2">
    <w:pPr>
      <w:pStyle w:val="TGAppendixBodyHeaders"/>
      <w:pBdr>
        <w:top w:val="single" w:sz="2" w:space="0" w:color="000000"/>
      </w:pBdr>
      <w:spacing w:line="276" w:lineRule="auto"/>
      <w:ind w:left="40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4CCCB781" wp14:editId="64A8B3BE">
          <wp:extent cx="3049693" cy="34640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693" cy="346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62A0F" w:rsidRDefault="00162A0F">
    <w:pPr>
      <w:pStyle w:val="TGAppendixBodyHeaders"/>
      <w:ind w:left="40"/>
      <w:rPr>
        <w:rFonts w:ascii="Arial" w:hAnsi="Arial"/>
      </w:rPr>
    </w:pPr>
  </w:p>
  <w:p w:rsidR="00162A0F" w:rsidRDefault="006166D2">
    <w:pPr>
      <w:pStyle w:val="TGAppendixBodyHeaders"/>
      <w:ind w:left="40"/>
      <w:rPr>
        <w:rFonts w:ascii="Arial" w:eastAsia="Arial" w:hAnsi="Arial" w:cs="Arial"/>
      </w:rPr>
    </w:pPr>
    <w:r>
      <w:rPr>
        <w:rFonts w:ascii="Arial" w:hAnsi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162A0F" w:rsidRDefault="00162A0F">
    <w:pPr>
      <w:pStyle w:val="TGAppendixBodyHeaders"/>
      <w:ind w:left="40"/>
      <w:rPr>
        <w:rFonts w:ascii="Arial" w:eastAsia="Arial" w:hAnsi="Arial" w:cs="Arial"/>
      </w:rPr>
    </w:pPr>
  </w:p>
  <w:p w:rsidR="00162A0F" w:rsidRDefault="006166D2">
    <w:pPr>
      <w:pStyle w:val="TGAppendixBodyHeaders"/>
      <w:ind w:left="40"/>
    </w:pPr>
    <w:r>
      <w:rPr>
        <w:rFonts w:ascii="Arial" w:hAnsi="Arial"/>
        <w:b/>
        <w:bCs/>
      </w:rPr>
      <w:t>For original transition documents and additional resources, templates and tools, visit presidentialtransition.org.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02" w:rsidRDefault="00B54E02">
      <w:r>
        <w:separator/>
      </w:r>
    </w:p>
  </w:footnote>
  <w:footnote w:type="continuationSeparator" w:id="0">
    <w:p w:rsidR="00B54E02" w:rsidRDefault="00B5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091"/>
    <w:multiLevelType w:val="hybridMultilevel"/>
    <w:tmpl w:val="C7EAF628"/>
    <w:lvl w:ilvl="0" w:tplc="066E12D8">
      <w:start w:val="1"/>
      <w:numFmt w:val="bullet"/>
      <w:lvlText w:val="·"/>
      <w:lvlJc w:val="left"/>
      <w:pPr>
        <w:ind w:left="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88C14A">
      <w:start w:val="1"/>
      <w:numFmt w:val="bullet"/>
      <w:lvlText w:val="o"/>
      <w:lvlJc w:val="left"/>
      <w:pPr>
        <w:ind w:left="11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4C2B6">
      <w:start w:val="1"/>
      <w:numFmt w:val="bullet"/>
      <w:lvlText w:val="▪"/>
      <w:lvlJc w:val="left"/>
      <w:pPr>
        <w:ind w:left="18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C22D0">
      <w:start w:val="1"/>
      <w:numFmt w:val="bullet"/>
      <w:lvlText w:val="·"/>
      <w:lvlJc w:val="left"/>
      <w:pPr>
        <w:ind w:left="25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48AA98">
      <w:start w:val="1"/>
      <w:numFmt w:val="bullet"/>
      <w:lvlText w:val="o"/>
      <w:lvlJc w:val="left"/>
      <w:pPr>
        <w:ind w:left="33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3CF08A">
      <w:start w:val="1"/>
      <w:numFmt w:val="bullet"/>
      <w:lvlText w:val="▪"/>
      <w:lvlJc w:val="left"/>
      <w:pPr>
        <w:ind w:left="4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F44CD4">
      <w:start w:val="1"/>
      <w:numFmt w:val="bullet"/>
      <w:lvlText w:val="·"/>
      <w:lvlJc w:val="left"/>
      <w:pPr>
        <w:ind w:left="47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20894">
      <w:start w:val="1"/>
      <w:numFmt w:val="bullet"/>
      <w:lvlText w:val="o"/>
      <w:lvlJc w:val="left"/>
      <w:pPr>
        <w:ind w:left="54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2AF5B2">
      <w:start w:val="1"/>
      <w:numFmt w:val="bullet"/>
      <w:lvlText w:val="▪"/>
      <w:lvlJc w:val="left"/>
      <w:pPr>
        <w:ind w:left="61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8F7771"/>
    <w:multiLevelType w:val="hybridMultilevel"/>
    <w:tmpl w:val="2412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D339B"/>
    <w:multiLevelType w:val="hybridMultilevel"/>
    <w:tmpl w:val="1E8E73A6"/>
    <w:lvl w:ilvl="0" w:tplc="3600EA12">
      <w:start w:val="1"/>
      <w:numFmt w:val="bullet"/>
      <w:lvlText w:val="·"/>
      <w:lvlJc w:val="left"/>
      <w:pPr>
        <w:ind w:left="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E46C0">
      <w:start w:val="1"/>
      <w:numFmt w:val="bullet"/>
      <w:lvlText w:val="o"/>
      <w:lvlJc w:val="left"/>
      <w:pPr>
        <w:ind w:left="11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4802C8">
      <w:start w:val="1"/>
      <w:numFmt w:val="bullet"/>
      <w:lvlText w:val="▪"/>
      <w:lvlJc w:val="left"/>
      <w:pPr>
        <w:ind w:left="18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6E68CC">
      <w:start w:val="1"/>
      <w:numFmt w:val="bullet"/>
      <w:lvlText w:val="·"/>
      <w:lvlJc w:val="left"/>
      <w:pPr>
        <w:ind w:left="25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02AE8">
      <w:start w:val="1"/>
      <w:numFmt w:val="bullet"/>
      <w:lvlText w:val="o"/>
      <w:lvlJc w:val="left"/>
      <w:pPr>
        <w:ind w:left="33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6CC1E6">
      <w:start w:val="1"/>
      <w:numFmt w:val="bullet"/>
      <w:lvlText w:val="▪"/>
      <w:lvlJc w:val="left"/>
      <w:pPr>
        <w:ind w:left="4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4AFA8">
      <w:start w:val="1"/>
      <w:numFmt w:val="bullet"/>
      <w:lvlText w:val="·"/>
      <w:lvlJc w:val="left"/>
      <w:pPr>
        <w:ind w:left="47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5C73F4">
      <w:start w:val="1"/>
      <w:numFmt w:val="bullet"/>
      <w:lvlText w:val="o"/>
      <w:lvlJc w:val="left"/>
      <w:pPr>
        <w:ind w:left="54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8FBCA">
      <w:start w:val="1"/>
      <w:numFmt w:val="bullet"/>
      <w:lvlText w:val="▪"/>
      <w:lvlJc w:val="left"/>
      <w:pPr>
        <w:ind w:left="61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0F"/>
    <w:rsid w:val="000432A6"/>
    <w:rsid w:val="00094A90"/>
    <w:rsid w:val="00162A0F"/>
    <w:rsid w:val="004B1C56"/>
    <w:rsid w:val="00581353"/>
    <w:rsid w:val="00594A68"/>
    <w:rsid w:val="006166D2"/>
    <w:rsid w:val="00721245"/>
    <w:rsid w:val="007D5804"/>
    <w:rsid w:val="00801810"/>
    <w:rsid w:val="008A3475"/>
    <w:rsid w:val="008B4D48"/>
    <w:rsid w:val="009C3683"/>
    <w:rsid w:val="00B00B2E"/>
    <w:rsid w:val="00B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07688-8EAB-40EA-BE2B-EC461514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GAppendixBodyHeaders">
    <w:name w:val="TG_Appendix Body (Headers)"/>
    <w:pPr>
      <w:widowControl w:val="0"/>
      <w:tabs>
        <w:tab w:val="left" w:pos="720"/>
      </w:tabs>
      <w:suppressAutoHyphens/>
      <w:spacing w:line="180" w:lineRule="atLeast"/>
    </w:pPr>
    <w:rPr>
      <w:rFonts w:ascii="GothamNarrow-Book" w:eastAsia="GothamNarrow-Book" w:hAnsi="GothamNarrow-Book" w:cs="GothamNarrow-Book"/>
      <w:color w:val="000000"/>
      <w:sz w:val="16"/>
      <w:szCs w:val="16"/>
      <w:u w:color="000000"/>
    </w:rPr>
  </w:style>
  <w:style w:type="paragraph" w:customStyle="1" w:styleId="Heading">
    <w:name w:val="Heading"/>
    <w:next w:val="Body"/>
    <w:pPr>
      <w:keepNext/>
      <w:keepLines/>
      <w:pBdr>
        <w:bottom w:val="single" w:sz="4" w:space="0" w:color="003055"/>
      </w:pBdr>
      <w:tabs>
        <w:tab w:val="left" w:pos="4016"/>
      </w:tabs>
      <w:spacing w:before="480" w:after="120"/>
      <w:outlineLvl w:val="0"/>
    </w:pPr>
    <w:rPr>
      <w:rFonts w:ascii="Arial" w:hAnsi="Arial" w:cs="Arial Unicode MS"/>
      <w:b/>
      <w:bCs/>
      <w:caps/>
      <w:color w:val="000000"/>
      <w:sz w:val="26"/>
      <w:szCs w:val="26"/>
      <w:u w:color="000000"/>
      <w:lang w:val="de-DE"/>
    </w:rPr>
  </w:style>
  <w:style w:type="paragraph" w:customStyle="1" w:styleId="Body">
    <w:name w:val="Body"/>
    <w:rPr>
      <w:rFonts w:cs="Arial Unicode MS"/>
      <w:color w:val="000000"/>
      <w:sz w:val="22"/>
      <w:szCs w:val="22"/>
      <w:u w:color="000000"/>
      <w:lang w:val="de-DE"/>
    </w:rPr>
  </w:style>
  <w:style w:type="paragraph" w:styleId="ListParagraph">
    <w:name w:val="List Paragraph"/>
    <w:rPr>
      <w:rFonts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D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66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66D2"/>
  </w:style>
  <w:style w:type="character" w:styleId="EndnoteReference">
    <w:name w:val="endnote reference"/>
    <w:basedOn w:val="DefaultParagraphFont"/>
    <w:uiPriority w:val="99"/>
    <w:semiHidden/>
    <w:unhideWhenUsed/>
    <w:rsid w:val="006166D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nership">
  <a:themeElements>
    <a:clrScheme name="Partnership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0000FF"/>
      </a:hlink>
      <a:folHlink>
        <a:srgbClr val="FF00FF"/>
      </a:folHlink>
    </a:clrScheme>
    <a:fontScheme name="Partnership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Partnership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3055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3055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B0D3-E473-459D-B8C9-B49F474D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Pietrantoni</dc:creator>
  <cp:lastModifiedBy>Casey Dennison</cp:lastModifiedBy>
  <cp:revision>4</cp:revision>
  <dcterms:created xsi:type="dcterms:W3CDTF">2017-06-07T00:50:00Z</dcterms:created>
  <dcterms:modified xsi:type="dcterms:W3CDTF">2017-08-23T20:20:00Z</dcterms:modified>
</cp:coreProperties>
</file>